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Proposta de Cronograma de Identificação e de Mapeamento dos Instrumentos Jurídicos para fins de adequação às leis de proteção de dados pessoais</w:t>
      </w:r>
    </w:p>
    <w:p w:rsidR="00000000" w:rsidDel="00000000" w:rsidP="00000000" w:rsidRDefault="00000000" w:rsidRPr="00000000" w14:paraId="00000002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Objetivo Geral: </w:t>
      </w:r>
      <w:r w:rsidDel="00000000" w:rsidR="00000000" w:rsidRPr="00000000">
        <w:rPr>
          <w:i w:val="1"/>
          <w:sz w:val="24"/>
          <w:szCs w:val="24"/>
          <w:rtl w:val="0"/>
        </w:rPr>
        <w:t xml:space="preserve">Identificar o objetivo geral do  Cronograma de Identificação e de Mapeamento dos Instrumentos Jurídicos para fins de adequação às leis de proteção de dados pessoais. Um objetivo sugerido é o seguinte: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7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Mapear os contratos e os instrumentos congêneres formalizados por órgãos/entidades municipais que contenham dados pessoais e que não estejam em conformidade com a LGPD, a fim de promover a adequação à norma protetiva.</w:t>
      </w:r>
    </w:p>
    <w:p w:rsidR="00000000" w:rsidDel="00000000" w:rsidP="00000000" w:rsidRDefault="00000000" w:rsidRPr="00000000" w14:paraId="00000006">
      <w:pPr>
        <w:spacing w:line="240" w:lineRule="auto"/>
        <w:ind w:left="720" w:firstLine="0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720" w:firstLine="0"/>
        <w:jc w:val="both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Objetivos Específicos: </w:t>
      </w:r>
      <w:r w:rsidDel="00000000" w:rsidR="00000000" w:rsidRPr="00000000">
        <w:rPr>
          <w:i w:val="1"/>
          <w:sz w:val="24"/>
          <w:szCs w:val="24"/>
          <w:rtl w:val="0"/>
        </w:rPr>
        <w:t xml:space="preserve">Identificar os objetivos específicos do Cronograma de Identificação e de Mapeamento dos Instrumentos Jurídicos. Alguns objetivos sugeridos são os seguintes: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Iniciar, com o apoio, ou até mesmo, com a participação direta da alta gestão</w:t>
      </w:r>
      <w:r w:rsidDel="00000000" w:rsidR="00000000" w:rsidRPr="00000000">
        <w:rPr>
          <w:color w:val="000000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o processo de adequação de contratos e instrumentos congêneres que contenham dados pessoais, formalizados por órgãos/entidades municipais.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08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Identificar contratos e instrumentos congêneres que contenham dados pessoais, formalizados por órgãos/entidades municipais, e que não está em conformidade com a LGPD.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08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Propor cláusulas contratuais </w:t>
      </w:r>
      <w:r w:rsidDel="00000000" w:rsidR="00000000" w:rsidRPr="00000000">
        <w:rPr>
          <w:sz w:val="24"/>
          <w:szCs w:val="24"/>
          <w:rtl w:val="0"/>
        </w:rPr>
        <w:t xml:space="preserve">específicas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 contratos e instrumentos congêneres que contenham dados pessoais, </w:t>
      </w:r>
      <w:r w:rsidDel="00000000" w:rsidR="00000000" w:rsidRPr="00000000">
        <w:rPr>
          <w:sz w:val="24"/>
          <w:szCs w:val="24"/>
          <w:rtl w:val="0"/>
        </w:rPr>
        <w:t xml:space="preserve">formalizados por órgãos/entidades municipais,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devendo se considerar cláusulas e minutas- padrões apresentadas pela PGM/RJ.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Promover o monitoramento contínuo deste processo de adequação de contratos à LGPD;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08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08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Outros objetivos específicos devem ser incluídos pelo órgão/entidade.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Cronograma de implementação: </w:t>
      </w:r>
      <w:r w:rsidDel="00000000" w:rsidR="00000000" w:rsidRPr="00000000">
        <w:rPr>
          <w:i w:val="1"/>
          <w:sz w:val="24"/>
          <w:szCs w:val="24"/>
          <w:rtl w:val="0"/>
        </w:rPr>
        <w:t xml:space="preserve">detalhar o cronograma para implementar as medidas apontadas no item 3.1. O modelo de cronograma contendo as ações a serem observadas, pode ser conferidos a seguir: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firstLine="36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firstLine="360"/>
        <w:jc w:val="both"/>
        <w:rPr>
          <w:i w:val="1"/>
          <w:sz w:val="24"/>
          <w:szCs w:val="24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3.1 - Lista de Ações do Grupo de Trabalho responsável pela adequação dos instrumentos: </w:t>
      </w:r>
      <w:r w:rsidDel="00000000" w:rsidR="00000000" w:rsidRPr="00000000">
        <w:rPr>
          <w:i w:val="1"/>
          <w:sz w:val="24"/>
          <w:szCs w:val="24"/>
          <w:rtl w:val="0"/>
        </w:rPr>
        <w:t xml:space="preserve">O Cronograma de ações consta no Anexo I.</w:t>
      </w:r>
    </w:p>
    <w:p w:rsidR="00000000" w:rsidDel="00000000" w:rsidP="00000000" w:rsidRDefault="00000000" w:rsidRPr="00000000" w14:paraId="00000019">
      <w:pPr>
        <w:spacing w:line="240" w:lineRule="auto"/>
        <w:ind w:firstLine="36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1A">
      <w:pPr>
        <w:spacing w:line="240" w:lineRule="auto"/>
        <w:ind w:firstLine="36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452.000000000004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6"/>
        <w:gridCol w:w="2304"/>
        <w:gridCol w:w="1647"/>
        <w:gridCol w:w="1444"/>
        <w:gridCol w:w="399"/>
        <w:gridCol w:w="365"/>
        <w:gridCol w:w="365"/>
        <w:gridCol w:w="404"/>
        <w:gridCol w:w="425"/>
        <w:gridCol w:w="365"/>
        <w:gridCol w:w="365"/>
        <w:gridCol w:w="404"/>
        <w:gridCol w:w="365"/>
        <w:gridCol w:w="365"/>
        <w:gridCol w:w="404"/>
        <w:gridCol w:w="425"/>
        <w:gridCol w:w="365"/>
        <w:gridCol w:w="365"/>
        <w:gridCol w:w="404"/>
        <w:gridCol w:w="425"/>
        <w:gridCol w:w="420"/>
        <w:gridCol w:w="6"/>
        <w:gridCol w:w="369"/>
        <w:gridCol w:w="365"/>
        <w:gridCol w:w="420"/>
        <w:gridCol w:w="11"/>
        <w:tblGridChange w:id="0">
          <w:tblGrid>
            <w:gridCol w:w="2256"/>
            <w:gridCol w:w="2304"/>
            <w:gridCol w:w="1647"/>
            <w:gridCol w:w="1444"/>
            <w:gridCol w:w="399"/>
            <w:gridCol w:w="365"/>
            <w:gridCol w:w="365"/>
            <w:gridCol w:w="404"/>
            <w:gridCol w:w="425"/>
            <w:gridCol w:w="365"/>
            <w:gridCol w:w="365"/>
            <w:gridCol w:w="404"/>
            <w:gridCol w:w="365"/>
            <w:gridCol w:w="365"/>
            <w:gridCol w:w="404"/>
            <w:gridCol w:w="425"/>
            <w:gridCol w:w="365"/>
            <w:gridCol w:w="365"/>
            <w:gridCol w:w="404"/>
            <w:gridCol w:w="425"/>
            <w:gridCol w:w="420"/>
            <w:gridCol w:w="6"/>
            <w:gridCol w:w="369"/>
            <w:gridCol w:w="365"/>
            <w:gridCol w:w="420"/>
            <w:gridCol w:w="11"/>
          </w:tblGrid>
        </w:tblGridChange>
      </w:tblGrid>
      <w:tr>
        <w:trPr>
          <w:cantSplit w:val="0"/>
          <w:trHeight w:val="433" w:hRule="atLeast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Descrição da ação</w:t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Detalhamento do entregável</w:t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Ações</w:t>
            </w:r>
          </w:p>
        </w:tc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Responsável</w:t>
            </w:r>
          </w:p>
        </w:tc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Fevereiro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(semana)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Março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(semana)</w:t>
            </w:r>
          </w:p>
        </w:tc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Abril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(semana)</w:t>
            </w:r>
          </w:p>
        </w:tc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Maio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(semana)</w:t>
            </w:r>
          </w:p>
        </w:tc>
        <w:tc>
          <w:tcPr>
            <w:gridSpan w:val="6"/>
            <w:shd w:fill="d9d9d9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Junho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(semana)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1ª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2ª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3ª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4ª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1ª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2ª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3ª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4ª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1ª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2ª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3ª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4ª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1ª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2ª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3ª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4ª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1ª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2ª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3ª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4ª</w:t>
            </w:r>
          </w:p>
        </w:tc>
      </w:tr>
      <w:tr>
        <w:trPr>
          <w:cantSplit w:val="0"/>
          <w:trHeight w:val="2640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Formação inicial do      Comitê de Privacidade e Proteção de Dados Pessoais, que conte com a participação de pessoas pertencentes a diferentes unidades que exercem atividades relevantes para o tratamento de dados pessoais (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ex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Segurança da Informação, Tecnologia da Informação, Jurídico, Recursos Humanos, Auditoria, Ouvidoria e Área de Negócio/Finalística, Compliance), para que sejam considerados aspectos inerentes a todo o órgão/entidade), para órgãos/entidades que ainda possuírem.</w:t>
            </w:r>
          </w:p>
          <w:p w:rsidR="00000000" w:rsidDel="00000000" w:rsidP="00000000" w:rsidRDefault="00000000" w:rsidRPr="00000000" w14:paraId="00000074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instituição do     Comitê de Privacidade e Proteção de Dados Pessoais visa à garantia do “correto encadeamento e tração do projeto entre os níveis estratégico, tático e operacional.” </w:t>
            </w:r>
          </w:p>
          <w:p w:rsidR="00000000" w:rsidDel="00000000" w:rsidP="00000000" w:rsidRDefault="00000000" w:rsidRPr="00000000" w14:paraId="0000007B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(MALDONADO, Viviane. LGPD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: Lei Geral de Proteção de Dados Pessoais [livro eletrônico] : manual de implementação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 2. ed. -- São Paulo : Thomson. Reuters Brasil, 2021. P. 42).</w:t>
            </w:r>
          </w:p>
          <w:p w:rsidR="00000000" w:rsidDel="00000000" w:rsidP="00000000" w:rsidRDefault="00000000" w:rsidRPr="00000000" w14:paraId="0000007D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Instituir     Comitê de Privacidade e Proteção de Dados Pessoais nos órgãos/entidades municipais que ainda não tenham tal Comitê, a fim de iniciar o processo de adequação à LGPD, em especial, a revisão dos contratos.</w:t>
            </w:r>
          </w:p>
          <w:p w:rsidR="00000000" w:rsidDel="00000000" w:rsidP="00000000" w:rsidRDefault="00000000" w:rsidRPr="00000000" w14:paraId="00000081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Responsáveis nos órgãos/entidades</w:t>
            </w:r>
          </w:p>
          <w:p w:rsidR="00000000" w:rsidDel="00000000" w:rsidP="00000000" w:rsidRDefault="00000000" w:rsidRPr="00000000" w14:paraId="00000084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 Alta gestão).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9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/>
          <w:p w:rsidR="00000000" w:rsidDel="00000000" w:rsidP="00000000" w:rsidRDefault="00000000" w:rsidRPr="00000000" w14:paraId="0000009B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Criar Grupo de Trabalho específico para a revisão dos Contratos </w:t>
            </w:r>
            <w:r w:rsidDel="00000000" w:rsidR="00000000" w:rsidRPr="00000000">
              <w:rPr>
                <w:rFonts w:ascii="Roboto" w:cs="Roboto" w:eastAsia="Roboto" w:hAnsi="Roboto"/>
                <w:sz w:val="16"/>
                <w:szCs w:val="16"/>
                <w:highlight w:val="white"/>
                <w:rtl w:val="0"/>
              </w:rPr>
              <w:t xml:space="preserve">e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sz w:val="17"/>
                <w:szCs w:val="17"/>
                <w:highlight w:val="white"/>
                <w:rtl w:val="0"/>
              </w:rPr>
              <w:t xml:space="preserve">instrumentos congêneres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e que conte com a participação de pessoas pertencentes a diferentes unidades que exercem atividades relevantes para o tratamento de dados pessoais.</w:t>
            </w:r>
          </w:p>
          <w:p w:rsidR="00000000" w:rsidDel="00000000" w:rsidP="00000000" w:rsidRDefault="00000000" w:rsidRPr="00000000" w14:paraId="0000009D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Objetiva criar grupo de trabalho destinado a proceder ao levantamento de instrumentos que contenham dados pessoais.</w:t>
            </w:r>
          </w:p>
          <w:p w:rsidR="00000000" w:rsidDel="00000000" w:rsidP="00000000" w:rsidRDefault="00000000" w:rsidRPr="00000000" w14:paraId="000000A0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É relevante que o Grupo de Trabalho conte com a participação de pessoas pertencentes a diferentes unidades dos órgãos/entidades que exercem atividades relevantes para o tratamento de dados pessoais (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ex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Segurança da Informação, Tecnologia da Informação, Jurídico, Recursos Humanos, Auditoria, Ouvidoria e Área de Negócio/Finalística), para que sejam considerados aspectos inerentes a todo(a) órgão/entidade.</w:t>
            </w:r>
          </w:p>
          <w:p w:rsidR="00000000" w:rsidDel="00000000" w:rsidP="00000000" w:rsidRDefault="00000000" w:rsidRPr="00000000" w14:paraId="000000A2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Instituir Grupo de Trabalho que possua conhecimento jurídico e financeiro a fim de promover o levantamento dos Contratos e instrumentos similares formalizados pelos órgãos/entidades municipais, que contenham dados pessoais.</w:t>
            </w:r>
          </w:p>
          <w:p w:rsidR="00000000" w:rsidDel="00000000" w:rsidP="00000000" w:rsidRDefault="00000000" w:rsidRPr="00000000" w14:paraId="000000A5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Responsáveis nos órgãos/entidades</w:t>
            </w:r>
          </w:p>
          <w:p w:rsidR="00000000" w:rsidDel="00000000" w:rsidP="00000000" w:rsidRDefault="00000000" w:rsidRPr="00000000" w14:paraId="000000AA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 Alta gestão).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0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Indicação formal de Encarregado de dados para órgãos/entidades que ainda 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não</w:t>
            </w: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 possuírem.</w:t>
            </w:r>
          </w:p>
          <w:p w:rsidR="00000000" w:rsidDel="00000000" w:rsidP="00000000" w:rsidRDefault="00000000" w:rsidRPr="00000000" w14:paraId="000000C3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indicação formal decorre de exigência legal (arts. 5º, VIII e 41 da LGPD).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Indicar encarregado de dados para atuar como canal de comunicação entre o controlador, os titulares dos dados e a Autoridade Nacional de Proteção de Dados (ANPD).</w:t>
            </w:r>
          </w:p>
          <w:p w:rsidR="00000000" w:rsidDel="00000000" w:rsidP="00000000" w:rsidRDefault="00000000" w:rsidRPr="00000000" w14:paraId="000000C8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Responsáveis nos órgãos/entidades</w:t>
            </w:r>
          </w:p>
          <w:p w:rsidR="00000000" w:rsidDel="00000000" w:rsidP="00000000" w:rsidRDefault="00000000" w:rsidRPr="00000000" w14:paraId="000000CB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 Alta gestão).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0" w:hRule="atLeast"/>
          <w:tblHeader w:val="0"/>
        </w:trPr>
        <w:tc>
          <w:tcPr/>
          <w:p w:rsidR="00000000" w:rsidDel="00000000" w:rsidP="00000000" w:rsidRDefault="00000000" w:rsidRPr="00000000" w14:paraId="000000E2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Mapeamento dos contratos e instrumentos convocatórios vigentes, com elaboração de relatório final.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Objetiva mapear os contratos e instrumentos semelhantes que contenham dados pessoais, e que necessitarão ser adequados à LGPD.</w:t>
            </w:r>
          </w:p>
          <w:p w:rsidR="00000000" w:rsidDel="00000000" w:rsidP="00000000" w:rsidRDefault="00000000" w:rsidRPr="00000000" w14:paraId="000000E6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 resultado do mapeamento será sob a forma de relatório, descrevendo os detalhes contratuais relacionados à LGPD (quem é o Controlador? Há operador? Há titulares de dados pessoais envolvidos no contrato? Qual tratamento de dados verificados? Quais dados pessoais são tratados? </w:t>
            </w:r>
          </w:p>
          <w:p w:rsidR="00000000" w:rsidDel="00000000" w:rsidP="00000000" w:rsidRDefault="00000000" w:rsidRPr="00000000" w14:paraId="000000E8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1) Identificar nos contratos, as categorias de dados pessoais e dos titulares de dados pessoais envolvidas nos contratos e instrumentos congêneres analisados (ex:  crianças.). (Referência(s): Lei 13.709/2018, art. 5º, inciso V. ABNT NBR ISO/IEC 27.701/2019, item 7.2.8.)</w:t>
            </w:r>
          </w:p>
          <w:p w:rsidR="00000000" w:rsidDel="00000000" w:rsidP="00000000" w:rsidRDefault="00000000" w:rsidRPr="00000000" w14:paraId="000000EB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2) Identificar nos contratos, Operadores que realizam tratamento de dados pessoais em seus nomes. (Referência(s): Lei 13.709/2018, art. 5º, inciso VII. ABNT NBR ISO/IEC 27.701/2019, item 7.2.6.).</w:t>
            </w:r>
          </w:p>
          <w:p w:rsidR="00000000" w:rsidDel="00000000" w:rsidP="00000000" w:rsidRDefault="00000000" w:rsidRPr="00000000" w14:paraId="000000ED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3) Identificar nos contratos, uma possível ocorrência de Controladoria Conjunta (itens 3.1 e 7.2.7 da ABNT NBR ISO/IEC 27701:2019).</w:t>
            </w:r>
          </w:p>
          <w:p w:rsidR="00000000" w:rsidDel="00000000" w:rsidP="00000000" w:rsidRDefault="00000000" w:rsidRPr="00000000" w14:paraId="000000F0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4) Identificar nos contratos,  processos (operações realizadas) que realizam tratamento de dados pessoais. (art. 5º, X da LGPD e item 7.2.8 da ABNT NBR ISO/IEC</w:t>
            </w:r>
          </w:p>
          <w:p w:rsidR="00000000" w:rsidDel="00000000" w:rsidP="00000000" w:rsidRDefault="00000000" w:rsidRPr="00000000" w14:paraId="000000F2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27701:2019).</w:t>
            </w:r>
          </w:p>
          <w:p w:rsidR="00000000" w:rsidDel="00000000" w:rsidP="00000000" w:rsidRDefault="00000000" w:rsidRPr="00000000" w14:paraId="000000F3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5) Identificar a(s) base(s) legais s que fundamentam as atividades de tratamento de dados pessoais. (arts. 7º e 23</w:t>
            </w:r>
          </w:p>
          <w:p w:rsidR="00000000" w:rsidDel="00000000" w:rsidP="00000000" w:rsidRDefault="00000000" w:rsidRPr="00000000" w14:paraId="000000F5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 LGPD e as diretrizes estabelecidas no item 7.2.2 da ABNT NBR ISO/IEC 27701:2019)</w:t>
            </w:r>
          </w:p>
          <w:p w:rsidR="00000000" w:rsidDel="00000000" w:rsidP="00000000" w:rsidRDefault="00000000" w:rsidRPr="00000000" w14:paraId="000000F6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Grupo de Trabalho ou o Comitê, com suporte da área gestora de contrato</w:t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0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0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Promover debate no GT ou Comitê sobre o Relatório a fim de se iniciar as propostas de adequação à LGPD.</w:t>
            </w:r>
          </w:p>
          <w:p w:rsidR="00000000" w:rsidDel="00000000" w:rsidP="00000000" w:rsidRDefault="00000000" w:rsidRPr="00000000" w14:paraId="00000111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Visa promover o debate entre os membros do GT sobre o relatório elaborado, a fim de que seja iniciado o processo de adequação à LGPD.</w:t>
            </w:r>
          </w:p>
          <w:p w:rsidR="00000000" w:rsidDel="00000000" w:rsidP="00000000" w:rsidRDefault="00000000" w:rsidRPr="00000000" w14:paraId="00000114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Nesta fase, serão analisados de que forma os dados pessoais foram tratados nos instrumentos, bem como a exata identificação do Controlador (ou até Controladoria Conjunta) e o(s) Operadores)</w:t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 debate proposto almeja classificar os contratos mapeados visando apresentar cláusulas específicas em contratos mais complexos e cláusulas mais simplificadas em instrumentos mais simples.</w:t>
            </w:r>
          </w:p>
          <w:p w:rsidR="00000000" w:rsidDel="00000000" w:rsidP="00000000" w:rsidRDefault="00000000" w:rsidRPr="00000000" w14:paraId="00000118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exata identificação dos agentes de tratamento de dados é imprescindível à formulação de cláusulas visando à adequação contratual.</w:t>
            </w:r>
          </w:p>
          <w:p w:rsidR="00000000" w:rsidDel="00000000" w:rsidP="00000000" w:rsidRDefault="00000000" w:rsidRPr="00000000" w14:paraId="0000011A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Grupo de Trabalho ou Comitê com suporte da área gestora de contrato</w:t>
            </w:r>
          </w:p>
          <w:p w:rsidR="00000000" w:rsidDel="00000000" w:rsidP="00000000" w:rsidRDefault="00000000" w:rsidRPr="00000000" w14:paraId="0000011D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2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Levantar possíveis</w:t>
            </w:r>
          </w:p>
          <w:p w:rsidR="00000000" w:rsidDel="00000000" w:rsidP="00000000" w:rsidRDefault="00000000" w:rsidRPr="00000000" w14:paraId="00000136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custos relacionados às</w:t>
            </w:r>
          </w:p>
          <w:p w:rsidR="00000000" w:rsidDel="00000000" w:rsidP="00000000" w:rsidRDefault="00000000" w:rsidRPr="00000000" w14:paraId="00000137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cláusulas contratuais.</w:t>
            </w:r>
          </w:p>
          <w:p w:rsidR="00000000" w:rsidDel="00000000" w:rsidP="00000000" w:rsidRDefault="00000000" w:rsidRPr="00000000" w14:paraId="00000138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Objetiva o debate/negociação acerca dos possíveis impactos financeiros gerados pela adequação à LGPD.</w:t>
            </w:r>
          </w:p>
          <w:p w:rsidR="00000000" w:rsidDel="00000000" w:rsidP="00000000" w:rsidRDefault="00000000" w:rsidRPr="00000000" w14:paraId="0000013B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Visa à discussão e possível negociação com as Contratadas (operadores) em relação a possíveis impactos financeiros oriundos da adequação dos instrumentos à LGPD.</w:t>
            </w:r>
          </w:p>
          <w:p w:rsidR="00000000" w:rsidDel="00000000" w:rsidP="00000000" w:rsidRDefault="00000000" w:rsidRPr="00000000" w14:paraId="0000013E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Área Gestora dos contratos, com apoio do Grupo de Trabalho ou do Comitê.</w:t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5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5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7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Promover a adequação dos instrumentos</w:t>
            </w:r>
          </w:p>
          <w:p w:rsidR="00000000" w:rsidDel="00000000" w:rsidP="00000000" w:rsidRDefault="00000000" w:rsidRPr="00000000" w14:paraId="00000159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Visa ao processo de adequação dos Instrumentos contratuais e similares à LGPD.</w:t>
            </w:r>
          </w:p>
          <w:p w:rsidR="00000000" w:rsidDel="00000000" w:rsidP="00000000" w:rsidRDefault="00000000" w:rsidRPr="00000000" w14:paraId="0000015C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Apresentação de propostas de cláusulas visando à adequação dos instrumentos à LGPD, devendo se considerar cláusulas e minutas-padrões apresentadas pela PGM/RJ.</w:t>
            </w:r>
          </w:p>
          <w:p w:rsidR="00000000" w:rsidDel="00000000" w:rsidP="00000000" w:rsidRDefault="00000000" w:rsidRPr="00000000" w14:paraId="0000015F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 área responsável pela confecção de contratos e termos aditivos deverá, com base nas propostas de cláusulas visando à adequação dos instrumentos à LGPD, adequar os contratos, de forma a estabelecer, claramente, os papéis e responsabilidades relacionados à proteção de dados</w:t>
            </w:r>
          </w:p>
          <w:p w:rsidR="00000000" w:rsidDel="00000000" w:rsidP="00000000" w:rsidRDefault="00000000" w:rsidRPr="00000000" w14:paraId="00000161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pessoais, considerando as diretrizes estabelecidas no item 7.2.6 da ABNT NBR ISO/IEC 27701:2019.</w:t>
            </w:r>
          </w:p>
          <w:p w:rsidR="00000000" w:rsidDel="00000000" w:rsidP="00000000" w:rsidRDefault="00000000" w:rsidRPr="00000000" w14:paraId="00000162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Após, a adequação promovida, deverão ser  tomadas todas as providências administrativas pertinentes aos contratos, como por exemplo, publicação em DO do extrato do instrumento.</w:t>
            </w:r>
          </w:p>
          <w:p w:rsidR="00000000" w:rsidDel="00000000" w:rsidP="00000000" w:rsidRDefault="00000000" w:rsidRPr="00000000" w14:paraId="00000164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Área Gestora dos contratos com apoio do Grupo de Trabalho ou do Comitê.</w:t>
            </w:r>
          </w:p>
        </w:tc>
        <w:tc>
          <w:tcPr/>
          <w:p w:rsidR="00000000" w:rsidDel="00000000" w:rsidP="00000000" w:rsidRDefault="00000000" w:rsidRPr="00000000" w14:paraId="00000167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Monitoramento contínuo das revisões nos contratos e da adequação à LGPD.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Promover o monitoramento permanente das revisões feitas nos contratos e instrumentos congêneres.</w:t>
            </w:r>
          </w:p>
          <w:p w:rsidR="00000000" w:rsidDel="00000000" w:rsidP="00000000" w:rsidRDefault="00000000" w:rsidRPr="00000000" w14:paraId="00000181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Estabelecer processos de monitoramento das revisões à LGPD (monitorar, avaliar e analisar a conformidade com os requisitos externos).</w:t>
            </w:r>
          </w:p>
          <w:p w:rsidR="00000000" w:rsidDel="00000000" w:rsidP="00000000" w:rsidRDefault="00000000" w:rsidRPr="00000000" w14:paraId="00000184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Grupo de Trabalho ou pelo Comitê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C">
      <w:pPr>
        <w:spacing w:line="240" w:lineRule="auto"/>
        <w:ind w:firstLine="36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1909" w:w="16834" w:orient="landscape"/>
      <w:pgMar w:bottom="993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Acórdão 1384/2022 – TCU – Plenário (Processo: TC 039.606/2020-1.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9E">
    <w:pPr>
      <w:widowControl w:val="0"/>
      <w:tabs>
        <w:tab w:val="center" w:leader="none" w:pos="4819"/>
        <w:tab w:val="right" w:leader="none" w:pos="9638"/>
      </w:tabs>
      <w:spacing w:line="240" w:lineRule="auto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2716463" cy="604838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16463" cy="6048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9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133975" cy="120967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33975" cy="12096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